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EF" w:rsidRPr="00E92F3C" w:rsidRDefault="00DC32A7" w:rsidP="00637FEF">
      <w:pPr>
        <w:pStyle w:val="Heading2"/>
      </w:pPr>
      <w:r>
        <w:t>Restraining loads</w:t>
      </w:r>
    </w:p>
    <w:p w:rsidR="00637FEF" w:rsidRPr="00BF3641" w:rsidRDefault="00637FEF" w:rsidP="00637FEF">
      <w:r w:rsidRPr="00BF3641">
        <w:t xml:space="preserve">This activity aims to </w:t>
      </w:r>
      <w:r w:rsidR="00904DB9">
        <w:t>assist a haulage operator</w:t>
      </w:r>
      <w:r w:rsidR="00DF4A28">
        <w:t xml:space="preserve"> and contractor</w:t>
      </w:r>
      <w:r w:rsidR="00904DB9">
        <w:t xml:space="preserve"> to use the </w:t>
      </w:r>
      <w:r w:rsidR="00E126EC">
        <w:t xml:space="preserve">information in the </w:t>
      </w:r>
      <w:r w:rsidR="00904DB9" w:rsidRPr="00DF4A28">
        <w:rPr>
          <w:i/>
        </w:rPr>
        <w:t>Log Haulage Manual</w:t>
      </w:r>
      <w:r w:rsidR="00904DB9">
        <w:t xml:space="preserve">. Log loading and haulage is </w:t>
      </w:r>
      <w:r w:rsidR="00AB5575">
        <w:t xml:space="preserve">potentially </w:t>
      </w:r>
      <w:r w:rsidR="00904DB9">
        <w:t xml:space="preserve">a high-risk activity. Accidents caused by incorrect and unsafe loading or unloading techniques and drivers not knowing about or following safe work procedures can cause fatalities and serious injuries.  </w:t>
      </w:r>
    </w:p>
    <w:p w:rsidR="00637FEF" w:rsidRPr="00BF3641" w:rsidRDefault="00637FEF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</w:p>
    <w:p w:rsidR="008B3EB3" w:rsidRDefault="008B3EB3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Who is this activity aimed at?</w:t>
      </w:r>
    </w:p>
    <w:p w:rsidR="008B3EB3" w:rsidRPr="00995F19" w:rsidRDefault="008B3EB3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</w:pPr>
      <w:r w:rsidRPr="008B3EB3">
        <w:t>This</w:t>
      </w:r>
      <w:r>
        <w:t xml:space="preserve"> activity is for log hauliers to increase their </w:t>
      </w:r>
      <w:r w:rsidRPr="00995F19">
        <w:t xml:space="preserve">understanding of the information in the </w:t>
      </w:r>
      <w:r w:rsidRPr="00995F19">
        <w:rPr>
          <w:i/>
        </w:rPr>
        <w:t>Log Haulage Manual</w:t>
      </w:r>
      <w:r w:rsidRPr="00995F19">
        <w:t xml:space="preserve"> and to provide some practice at directly applying the information to practical scenarios. This activity should be guided by an experienced and</w:t>
      </w:r>
      <w:r w:rsidR="003A3701" w:rsidRPr="00995F19">
        <w:t xml:space="preserve"> capable person, with a sound</w:t>
      </w:r>
      <w:r w:rsidRPr="00995F19">
        <w:t xml:space="preserve"> knowledge </w:t>
      </w:r>
      <w:r w:rsidR="003A3701" w:rsidRPr="00995F19">
        <w:t xml:space="preserve">of </w:t>
      </w:r>
      <w:r w:rsidRPr="00995F19">
        <w:t>the log haulage manual contents and their practical application. It can be undertaken alone or in small groups.</w:t>
      </w:r>
    </w:p>
    <w:p w:rsidR="00637FEF" w:rsidRPr="00995F19" w:rsidRDefault="00383FB3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>Outcome:</w:t>
      </w:r>
      <w:r w:rsidR="00637FEF" w:rsidRPr="00995F19">
        <w:rPr>
          <w:b/>
          <w:sz w:val="24"/>
          <w:szCs w:val="24"/>
        </w:rPr>
        <w:t xml:space="preserve"> </w:t>
      </w:r>
    </w:p>
    <w:p w:rsidR="00BF3641" w:rsidRPr="00BF3641" w:rsidRDefault="00E126EC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95F19">
        <w:t>It is essential that driver</w:t>
      </w:r>
      <w:r w:rsidR="003A3701" w:rsidRPr="00995F19">
        <w:t>s</w:t>
      </w:r>
      <w:r w:rsidRPr="00995F19">
        <w:t xml:space="preserve"> and loaders maintain a professional and responsible attitude</w:t>
      </w:r>
      <w:r>
        <w:t xml:space="preserve"> towards all aspects of loading, driving and unloading trucks carrying logs and other forest produce. The </w:t>
      </w:r>
      <w:r w:rsidRPr="00DF4A28">
        <w:rPr>
          <w:i/>
        </w:rPr>
        <w:t>Log Haulage Manual</w:t>
      </w:r>
      <w:r>
        <w:t xml:space="preserve"> provides a collated version of the information required to work in this area with due care and safety.</w:t>
      </w:r>
      <w:r w:rsidR="00637FEF" w:rsidRPr="00BF3641">
        <w:t xml:space="preserve"> </w:t>
      </w:r>
      <w:r w:rsidR="00383FB3" w:rsidRPr="00BF3641">
        <w:t xml:space="preserve"> This activity will enable</w:t>
      </w:r>
      <w:r w:rsidR="00637FEF" w:rsidRPr="00BF3641">
        <w:t xml:space="preserve"> </w:t>
      </w:r>
      <w:r w:rsidR="00DF4A28">
        <w:t xml:space="preserve">a </w:t>
      </w:r>
      <w:r>
        <w:t xml:space="preserve">driver and /or loader operator to work through a series of questions based on knowledge required from the manual in day-to-day operations. This activity </w:t>
      </w:r>
      <w:r w:rsidR="008B3EB3">
        <w:t>does not</w:t>
      </w:r>
      <w:r>
        <w:t xml:space="preserve"> replace the manual it exemplifies how to use it as a learning tool with workers.</w:t>
      </w:r>
      <w:r w:rsidR="00637FEF">
        <w:t xml:space="preserve"> </w:t>
      </w:r>
    </w:p>
    <w:p w:rsidR="00637FEF" w:rsidRPr="00BF3641" w:rsidRDefault="00383FB3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  <w:r w:rsidRPr="00BF3641">
        <w:rPr>
          <w:b/>
          <w:sz w:val="24"/>
          <w:szCs w:val="24"/>
        </w:rPr>
        <w:t>Preparation:</w:t>
      </w:r>
    </w:p>
    <w:p w:rsidR="00637FEF" w:rsidRPr="00BF3641" w:rsidRDefault="00E81B97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>
        <w:t xml:space="preserve">This activity </w:t>
      </w:r>
      <w:r w:rsidR="00444798">
        <w:t xml:space="preserve">should </w:t>
      </w:r>
      <w:r>
        <w:t xml:space="preserve">be </w:t>
      </w:r>
      <w:r w:rsidRPr="00995F19">
        <w:t>undertaken with a</w:t>
      </w:r>
      <w:r w:rsidR="00637FEF" w:rsidRPr="00995F19">
        <w:t xml:space="preserve">n experienced and knowledgeable person </w:t>
      </w:r>
      <w:r w:rsidR="00E126EC" w:rsidRPr="00995F19">
        <w:t>who has read the manual and is able to guid</w:t>
      </w:r>
      <w:r w:rsidR="003A3701" w:rsidRPr="00995F19">
        <w:t xml:space="preserve">e </w:t>
      </w:r>
      <w:r w:rsidR="00E126EC" w:rsidRPr="00995F19">
        <w:t>the</w:t>
      </w:r>
      <w:r w:rsidR="00E126EC">
        <w:t xml:space="preserve"> learner </w:t>
      </w:r>
      <w:r>
        <w:t xml:space="preserve">through </w:t>
      </w:r>
      <w:r w:rsidR="00E126EC">
        <w:t xml:space="preserve">the questions in this activity. </w:t>
      </w:r>
      <w:r w:rsidR="00637FEF" w:rsidRPr="00BF3641">
        <w:t xml:space="preserve">A discussion </w:t>
      </w:r>
      <w:r w:rsidR="00444798">
        <w:t>about specifics</w:t>
      </w:r>
      <w:r>
        <w:t xml:space="preserve"> of</w:t>
      </w:r>
      <w:r w:rsidR="00444798">
        <w:t xml:space="preserve"> trucks used and restraining techniques will make the activity relevant to all participants</w:t>
      </w:r>
      <w:r w:rsidR="00637FEF">
        <w:t xml:space="preserve">. </w:t>
      </w:r>
      <w:r w:rsidR="00637FEF" w:rsidRPr="00BF3641">
        <w:t xml:space="preserve"> </w:t>
      </w:r>
    </w:p>
    <w:p w:rsidR="00BF3641" w:rsidRPr="00BF3641" w:rsidRDefault="00383FB3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  <w:r w:rsidRPr="00BF3641">
        <w:rPr>
          <w:b/>
          <w:sz w:val="24"/>
          <w:szCs w:val="24"/>
        </w:rPr>
        <w:t>What will you need?</w:t>
      </w:r>
    </w:p>
    <w:p w:rsidR="00637FEF" w:rsidRPr="00BF3641" w:rsidRDefault="00637FEF" w:rsidP="00444798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BF3641">
        <w:t>You will need</w:t>
      </w:r>
      <w:r>
        <w:t xml:space="preserve"> a quiet room away from day to day activities to undertake this activity</w:t>
      </w:r>
      <w:r w:rsidR="00444798">
        <w:t xml:space="preserve">. A </w:t>
      </w:r>
      <w:r w:rsidR="00383FB3">
        <w:t>copy</w:t>
      </w:r>
      <w:r w:rsidR="00444798">
        <w:t xml:space="preserve"> of the </w:t>
      </w:r>
      <w:r w:rsidR="00444798" w:rsidRPr="00DF4A28">
        <w:rPr>
          <w:i/>
        </w:rPr>
        <w:t>Log Haulage Manual</w:t>
      </w:r>
      <w:r w:rsidR="00444798">
        <w:t xml:space="preserve"> and a pen and paper for notes. </w:t>
      </w:r>
      <w:r>
        <w:t xml:space="preserve"> </w:t>
      </w:r>
    </w:p>
    <w:p w:rsidR="00637FEF" w:rsidRPr="00BF3641" w:rsidRDefault="00637FEF" w:rsidP="00637FE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</w:p>
    <w:p w:rsidR="00637FEF" w:rsidRDefault="00637FEF" w:rsidP="00637FEF">
      <w:pPr>
        <w:rPr>
          <w:rFonts w:eastAsiaTheme="majorEastAsia"/>
          <w:b/>
          <w:bCs/>
          <w:color w:val="009999"/>
          <w:sz w:val="28"/>
          <w:szCs w:val="28"/>
        </w:rPr>
      </w:pPr>
      <w:r>
        <w:rPr>
          <w:rFonts w:eastAsiaTheme="majorEastAsia"/>
          <w:b/>
          <w:bCs/>
          <w:color w:val="009999"/>
          <w:sz w:val="28"/>
          <w:szCs w:val="28"/>
        </w:rPr>
        <w:br w:type="page"/>
      </w:r>
    </w:p>
    <w:p w:rsidR="00637FEF" w:rsidRDefault="00637FEF" w:rsidP="00637FEF">
      <w:pPr>
        <w:pStyle w:val="Heading2"/>
      </w:pPr>
      <w:r w:rsidRPr="005D1444">
        <w:lastRenderedPageBreak/>
        <w:t xml:space="preserve">Activity: </w:t>
      </w:r>
    </w:p>
    <w:p w:rsidR="00FE3D20" w:rsidRDefault="0051047E" w:rsidP="0051047E">
      <w:r>
        <w:t xml:space="preserve">The following activities are linked to information in the </w:t>
      </w:r>
      <w:hyperlink r:id="rId12" w:history="1">
        <w:r w:rsidRPr="00B421DF">
          <w:rPr>
            <w:rStyle w:val="Hyperlink"/>
            <w:i/>
          </w:rPr>
          <w:t>Log Haulage Manual</w:t>
        </w:r>
      </w:hyperlink>
      <w:r>
        <w:t>, available from ForestWorks.</w:t>
      </w:r>
      <w:r w:rsidR="00F134A2">
        <w:t xml:space="preserve"> </w:t>
      </w:r>
    </w:p>
    <w:p w:rsidR="00E9363B" w:rsidRDefault="00E9363B" w:rsidP="0051047E">
      <w:r>
        <w:t>Read throug</w:t>
      </w:r>
      <w:r w:rsidR="00F134A2">
        <w:t xml:space="preserve">h the information on pages 29-35 of the </w:t>
      </w:r>
      <w:r w:rsidR="00F134A2" w:rsidRPr="00237520">
        <w:rPr>
          <w:i/>
        </w:rPr>
        <w:t>Log Haulage Manual</w:t>
      </w:r>
      <w:r w:rsidR="00F134A2">
        <w:t xml:space="preserve"> and discuss</w:t>
      </w:r>
      <w:r>
        <w:t xml:space="preserve"> the questions below. You may like to make some notes under each question.</w:t>
      </w:r>
    </w:p>
    <w:p w:rsidR="00FB27E6" w:rsidRDefault="00FB27E6" w:rsidP="00FB27E6">
      <w:r>
        <w:t>To complete the activities, think about the load that you had on your truck most recently.</w:t>
      </w:r>
    </w:p>
    <w:p w:rsidR="0051047E" w:rsidRDefault="0051047E" w:rsidP="0051047E">
      <w:pPr>
        <w:pStyle w:val="Heading3"/>
      </w:pPr>
      <w:r>
        <w:t>Load restraint</w:t>
      </w:r>
    </w:p>
    <w:p w:rsidR="00237520" w:rsidRDefault="00237520" w:rsidP="00CE2D39">
      <w:pPr>
        <w:pStyle w:val="ListParagraph"/>
        <w:numPr>
          <w:ilvl w:val="0"/>
          <w:numId w:val="5"/>
        </w:numPr>
      </w:pPr>
      <w:r>
        <w:t>Which law regulates the requirements for road transport?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237520" w:rsidRDefault="00237520" w:rsidP="00CE2D39">
      <w:pPr>
        <w:pStyle w:val="ListParagraph"/>
        <w:numPr>
          <w:ilvl w:val="0"/>
          <w:numId w:val="5"/>
        </w:numPr>
      </w:pPr>
      <w:r>
        <w:t>How does this law specify load restraint?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237520" w:rsidRDefault="00237520" w:rsidP="00CE2D39">
      <w:pPr>
        <w:pStyle w:val="ListParagraph"/>
        <w:numPr>
          <w:ilvl w:val="0"/>
          <w:numId w:val="5"/>
        </w:numPr>
      </w:pPr>
      <w:r>
        <w:t xml:space="preserve">What is the speed that presents the </w:t>
      </w:r>
      <w:r w:rsidR="00CE2D39">
        <w:t>‘</w:t>
      </w:r>
      <w:r>
        <w:t>high risk</w:t>
      </w:r>
      <w:r w:rsidR="00CE2D39">
        <w:t>’</w:t>
      </w:r>
      <w:r>
        <w:t xml:space="preserve"> to load restraint failure? (Refer to page 30.) Why is this the case?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066CB7" w:rsidRDefault="00066CB7" w:rsidP="00CE2D39">
      <w:pPr>
        <w:pStyle w:val="ListParagraph"/>
        <w:numPr>
          <w:ilvl w:val="0"/>
          <w:numId w:val="5"/>
        </w:numPr>
      </w:pPr>
      <w:r>
        <w:t xml:space="preserve">What is an example of a direct restraint system? 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F134A2" w:rsidRDefault="00F134A2" w:rsidP="00FB27E6"/>
    <w:p w:rsidR="00066CB7" w:rsidRDefault="00066CB7" w:rsidP="00CE2D39">
      <w:pPr>
        <w:pStyle w:val="ListParagraph"/>
        <w:numPr>
          <w:ilvl w:val="0"/>
          <w:numId w:val="5"/>
        </w:numPr>
      </w:pPr>
      <w:r>
        <w:t>What direct restraint systems are in place on the truck you drive</w:t>
      </w:r>
      <w:r w:rsidR="002F6951">
        <w:t xml:space="preserve"> or </w:t>
      </w:r>
      <w:r w:rsidR="000D5120">
        <w:t>on the bottom of page 31 of the manual</w:t>
      </w:r>
      <w:r>
        <w:t>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066CB7" w:rsidRDefault="00066CB7" w:rsidP="00CE2D39">
      <w:pPr>
        <w:pStyle w:val="ListParagraph"/>
        <w:numPr>
          <w:ilvl w:val="0"/>
          <w:numId w:val="5"/>
        </w:numPr>
      </w:pPr>
      <w:r>
        <w:t>What tie-down systems do you use</w:t>
      </w:r>
      <w:r w:rsidR="000D5120">
        <w:t xml:space="preserve"> or have you se</w:t>
      </w:r>
      <w:r w:rsidR="000D5120" w:rsidRPr="00995F19">
        <w:t>e</w:t>
      </w:r>
      <w:r w:rsidR="00A34DB7" w:rsidRPr="00995F19">
        <w:t>n</w:t>
      </w:r>
      <w:r w:rsidR="000D5120">
        <w:t xml:space="preserve"> used</w:t>
      </w:r>
      <w:r>
        <w:t>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066CB7" w:rsidRDefault="00066CB7" w:rsidP="00CE2D39">
      <w:pPr>
        <w:pStyle w:val="ListParagraph"/>
        <w:numPr>
          <w:ilvl w:val="0"/>
          <w:numId w:val="5"/>
        </w:numPr>
      </w:pPr>
      <w:r>
        <w:t>What</w:t>
      </w:r>
      <w:r w:rsidR="00CE2D39">
        <w:t xml:space="preserve"> is</w:t>
      </w:r>
      <w:r>
        <w:t xml:space="preserve"> the difference between low friction logs and high friction logs?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066CB7" w:rsidRDefault="00066CB7" w:rsidP="00CE2D39">
      <w:pPr>
        <w:pStyle w:val="ListParagraph"/>
        <w:numPr>
          <w:ilvl w:val="0"/>
          <w:numId w:val="5"/>
        </w:numPr>
      </w:pPr>
      <w:r>
        <w:t xml:space="preserve">Which type of load </w:t>
      </w:r>
      <w:r w:rsidR="00237520">
        <w:t>would generally need more lashings to keep it stable?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51047E" w:rsidRDefault="0051047E" w:rsidP="00CE2D39">
      <w:pPr>
        <w:pStyle w:val="ListParagraph"/>
        <w:numPr>
          <w:ilvl w:val="0"/>
          <w:numId w:val="5"/>
        </w:numPr>
      </w:pPr>
      <w:r>
        <w:t xml:space="preserve">Which type of tensioning device is the most effective? 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066CB7" w:rsidRDefault="0051047E" w:rsidP="00CE2D39">
      <w:pPr>
        <w:pStyle w:val="ListParagraph"/>
        <w:numPr>
          <w:ilvl w:val="0"/>
          <w:numId w:val="5"/>
        </w:numPr>
      </w:pPr>
      <w:r>
        <w:t>Why are load binders hazardous?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B421DF" w:rsidRDefault="00B421DF">
      <w:r>
        <w:br w:type="page"/>
      </w:r>
    </w:p>
    <w:p w:rsidR="00CE7D48" w:rsidRDefault="00CE7D48" w:rsidP="00DC32A7"/>
    <w:p w:rsidR="0051047E" w:rsidRDefault="0051047E" w:rsidP="00CE2D39">
      <w:pPr>
        <w:pStyle w:val="ListParagraph"/>
        <w:numPr>
          <w:ilvl w:val="0"/>
          <w:numId w:val="5"/>
        </w:numPr>
      </w:pPr>
      <w:r>
        <w:t xml:space="preserve">What </w:t>
      </w:r>
      <w:r w:rsidR="00FB27E6">
        <w:t xml:space="preserve">are </w:t>
      </w:r>
      <w:r>
        <w:t xml:space="preserve">the advantages and disadvantages of using </w:t>
      </w:r>
      <w:r w:rsidRPr="00CE2D39">
        <w:rPr>
          <w:b/>
        </w:rPr>
        <w:t>chains</w:t>
      </w:r>
      <w:r>
        <w:t xml:space="preserve"> for lashing?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47E" w:rsidTr="0051047E">
        <w:tc>
          <w:tcPr>
            <w:tcW w:w="4675" w:type="dxa"/>
            <w:shd w:val="clear" w:color="auto" w:fill="D9D9D9" w:themeFill="background1" w:themeFillShade="D9"/>
          </w:tcPr>
          <w:p w:rsidR="0051047E" w:rsidRDefault="0051047E" w:rsidP="0051047E">
            <w:pPr>
              <w:pStyle w:val="Heading3"/>
              <w:outlineLvl w:val="2"/>
            </w:pPr>
            <w:r>
              <w:t>Advantages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1047E" w:rsidRDefault="0051047E" w:rsidP="0051047E">
            <w:pPr>
              <w:pStyle w:val="Heading3"/>
              <w:outlineLvl w:val="2"/>
            </w:pPr>
            <w:r>
              <w:t>Disadvantages</w:t>
            </w:r>
          </w:p>
        </w:tc>
      </w:tr>
      <w:tr w:rsidR="0051047E" w:rsidTr="0051047E">
        <w:trPr>
          <w:trHeight w:val="737"/>
        </w:trPr>
        <w:tc>
          <w:tcPr>
            <w:tcW w:w="4675" w:type="dxa"/>
          </w:tcPr>
          <w:p w:rsidR="0051047E" w:rsidRDefault="0051047E" w:rsidP="00DC32A7"/>
        </w:tc>
        <w:tc>
          <w:tcPr>
            <w:tcW w:w="4675" w:type="dxa"/>
          </w:tcPr>
          <w:p w:rsidR="0051047E" w:rsidRDefault="0051047E" w:rsidP="00DC32A7"/>
        </w:tc>
      </w:tr>
      <w:tr w:rsidR="0051047E" w:rsidTr="0051047E">
        <w:trPr>
          <w:trHeight w:val="737"/>
        </w:trPr>
        <w:tc>
          <w:tcPr>
            <w:tcW w:w="4675" w:type="dxa"/>
          </w:tcPr>
          <w:p w:rsidR="0051047E" w:rsidRDefault="0051047E" w:rsidP="00DC32A7"/>
        </w:tc>
        <w:tc>
          <w:tcPr>
            <w:tcW w:w="4675" w:type="dxa"/>
          </w:tcPr>
          <w:p w:rsidR="0051047E" w:rsidRDefault="0051047E" w:rsidP="00DC32A7"/>
        </w:tc>
      </w:tr>
      <w:tr w:rsidR="0051047E" w:rsidTr="0051047E">
        <w:trPr>
          <w:trHeight w:val="737"/>
        </w:trPr>
        <w:tc>
          <w:tcPr>
            <w:tcW w:w="4675" w:type="dxa"/>
          </w:tcPr>
          <w:p w:rsidR="0051047E" w:rsidRDefault="0051047E" w:rsidP="00DC32A7"/>
        </w:tc>
        <w:tc>
          <w:tcPr>
            <w:tcW w:w="4675" w:type="dxa"/>
          </w:tcPr>
          <w:p w:rsidR="0051047E" w:rsidRDefault="0051047E" w:rsidP="00DC32A7"/>
        </w:tc>
      </w:tr>
    </w:tbl>
    <w:p w:rsidR="0051047E" w:rsidRDefault="0051047E" w:rsidP="00DC32A7"/>
    <w:p w:rsidR="0051047E" w:rsidRDefault="0051047E" w:rsidP="00CE2D39">
      <w:pPr>
        <w:pStyle w:val="ListParagraph"/>
        <w:numPr>
          <w:ilvl w:val="0"/>
          <w:numId w:val="5"/>
        </w:numPr>
      </w:pPr>
      <w:r>
        <w:t xml:space="preserve">What are the advantages and disadvantages of using </w:t>
      </w:r>
      <w:r w:rsidRPr="00CE2D39">
        <w:rPr>
          <w:b/>
        </w:rPr>
        <w:t>webbing</w:t>
      </w:r>
      <w:r>
        <w:t xml:space="preserve"> for lashing?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47E" w:rsidTr="00A83F63">
        <w:tc>
          <w:tcPr>
            <w:tcW w:w="4675" w:type="dxa"/>
            <w:shd w:val="clear" w:color="auto" w:fill="D9D9D9" w:themeFill="background1" w:themeFillShade="D9"/>
          </w:tcPr>
          <w:p w:rsidR="0051047E" w:rsidRDefault="0051047E" w:rsidP="00A83F63">
            <w:pPr>
              <w:pStyle w:val="Heading3"/>
              <w:outlineLvl w:val="2"/>
            </w:pPr>
            <w:r>
              <w:t>Advantages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1047E" w:rsidRDefault="0051047E" w:rsidP="00A83F63">
            <w:pPr>
              <w:pStyle w:val="Heading3"/>
              <w:outlineLvl w:val="2"/>
            </w:pPr>
            <w:r>
              <w:t>Disadvantages</w:t>
            </w:r>
          </w:p>
        </w:tc>
      </w:tr>
      <w:tr w:rsidR="0051047E" w:rsidTr="00A83F63">
        <w:trPr>
          <w:trHeight w:val="737"/>
        </w:trPr>
        <w:tc>
          <w:tcPr>
            <w:tcW w:w="4675" w:type="dxa"/>
          </w:tcPr>
          <w:p w:rsidR="0051047E" w:rsidRDefault="0051047E" w:rsidP="00A83F63"/>
        </w:tc>
        <w:tc>
          <w:tcPr>
            <w:tcW w:w="4675" w:type="dxa"/>
          </w:tcPr>
          <w:p w:rsidR="0051047E" w:rsidRDefault="0051047E" w:rsidP="00A83F63"/>
        </w:tc>
      </w:tr>
      <w:tr w:rsidR="0051047E" w:rsidTr="00A83F63">
        <w:trPr>
          <w:trHeight w:val="737"/>
        </w:trPr>
        <w:tc>
          <w:tcPr>
            <w:tcW w:w="4675" w:type="dxa"/>
          </w:tcPr>
          <w:p w:rsidR="0051047E" w:rsidRDefault="0051047E" w:rsidP="00A83F63"/>
        </w:tc>
        <w:tc>
          <w:tcPr>
            <w:tcW w:w="4675" w:type="dxa"/>
          </w:tcPr>
          <w:p w:rsidR="0051047E" w:rsidRDefault="0051047E" w:rsidP="00A83F63"/>
        </w:tc>
      </w:tr>
      <w:tr w:rsidR="0051047E" w:rsidTr="00A83F63">
        <w:trPr>
          <w:trHeight w:val="737"/>
        </w:trPr>
        <w:tc>
          <w:tcPr>
            <w:tcW w:w="4675" w:type="dxa"/>
          </w:tcPr>
          <w:p w:rsidR="0051047E" w:rsidRDefault="0051047E" w:rsidP="00A83F63"/>
        </w:tc>
        <w:tc>
          <w:tcPr>
            <w:tcW w:w="4675" w:type="dxa"/>
          </w:tcPr>
          <w:p w:rsidR="0051047E" w:rsidRDefault="0051047E" w:rsidP="00A83F63"/>
        </w:tc>
      </w:tr>
    </w:tbl>
    <w:p w:rsidR="00E9363B" w:rsidRDefault="00E9363B" w:rsidP="00DC32A7"/>
    <w:p w:rsidR="0051047E" w:rsidRDefault="00E9363B" w:rsidP="00CE2D39">
      <w:pPr>
        <w:pStyle w:val="ListParagraph"/>
        <w:numPr>
          <w:ilvl w:val="0"/>
          <w:numId w:val="5"/>
        </w:numPr>
      </w:pPr>
      <w:r>
        <w:t>What document specifies the minimum standards for chain or web lashings?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E7D48" w:rsidRDefault="00CE7D48">
      <w:pPr>
        <w:rPr>
          <w:b/>
          <w:sz w:val="24"/>
          <w:szCs w:val="24"/>
        </w:rPr>
      </w:pPr>
      <w:r>
        <w:br w:type="page"/>
      </w:r>
    </w:p>
    <w:p w:rsidR="003B08D3" w:rsidRDefault="003B08D3" w:rsidP="003B08D3">
      <w:pPr>
        <w:pStyle w:val="Heading3"/>
      </w:pPr>
      <w:r>
        <w:t>Load stability and truck rollover</w:t>
      </w:r>
    </w:p>
    <w:p w:rsidR="003B08D3" w:rsidRDefault="003B08D3" w:rsidP="00DC32A7">
      <w:r>
        <w:t>The stability of log and other forest products in transit is a key issue for drivers. The key factors that impact stability are:</w:t>
      </w:r>
    </w:p>
    <w:p w:rsidR="003B08D3" w:rsidRDefault="00FB27E6" w:rsidP="00FB27E6">
      <w:pPr>
        <w:pStyle w:val="ListParagraph"/>
        <w:numPr>
          <w:ilvl w:val="0"/>
          <w:numId w:val="2"/>
        </w:numPr>
      </w:pPr>
      <w:r>
        <w:t>T</w:t>
      </w:r>
      <w:r w:rsidR="003B08D3">
        <w:t>he load centre of mass, and</w:t>
      </w:r>
    </w:p>
    <w:p w:rsidR="003B08D3" w:rsidRDefault="00FB27E6" w:rsidP="00FB27E6">
      <w:pPr>
        <w:pStyle w:val="ListParagraph"/>
        <w:numPr>
          <w:ilvl w:val="0"/>
          <w:numId w:val="2"/>
        </w:numPr>
      </w:pPr>
      <w:r>
        <w:t>V</w:t>
      </w:r>
      <w:r w:rsidR="003B08D3">
        <w:t>ehicle speed</w:t>
      </w:r>
    </w:p>
    <w:p w:rsidR="003B08D3" w:rsidRDefault="003B08D3" w:rsidP="00DC32A7">
      <w:r>
        <w:t xml:space="preserve">Read through the information on pages 61-62 of the </w:t>
      </w:r>
      <w:r w:rsidRPr="00C35608">
        <w:rPr>
          <w:i/>
        </w:rPr>
        <w:t xml:space="preserve">Log Haulage </w:t>
      </w:r>
      <w:r w:rsidR="00C35608">
        <w:rPr>
          <w:i/>
        </w:rPr>
        <w:t>Manual</w:t>
      </w:r>
      <w:r>
        <w:t>. Use the table on p62 to work out whether your load is at high or low rollover risk, taking into account:</w:t>
      </w:r>
    </w:p>
    <w:p w:rsidR="003B08D3" w:rsidRDefault="00FB27E6" w:rsidP="003B08D3">
      <w:pPr>
        <w:pStyle w:val="ListParagraph"/>
        <w:numPr>
          <w:ilvl w:val="0"/>
          <w:numId w:val="3"/>
        </w:numPr>
      </w:pPr>
      <w:r>
        <w:t>The bolster height of your load</w:t>
      </w:r>
    </w:p>
    <w:p w:rsidR="003B08D3" w:rsidRDefault="00FB27E6" w:rsidP="003B08D3">
      <w:pPr>
        <w:pStyle w:val="ListParagraph"/>
        <w:numPr>
          <w:ilvl w:val="0"/>
          <w:numId w:val="3"/>
        </w:numPr>
      </w:pPr>
      <w:r>
        <w:t>The total load height or your load</w:t>
      </w:r>
    </w:p>
    <w:p w:rsidR="003B08D3" w:rsidRPr="00995F19" w:rsidRDefault="00FB27E6" w:rsidP="003B08D3">
      <w:pPr>
        <w:pStyle w:val="ListParagraph"/>
        <w:numPr>
          <w:ilvl w:val="0"/>
          <w:numId w:val="3"/>
        </w:numPr>
      </w:pPr>
      <w:r>
        <w:t>The suspensio</w:t>
      </w:r>
      <w:r w:rsidR="003B08D3">
        <w:t xml:space="preserve">n on your truck (airbag or </w:t>
      </w:r>
      <w:r w:rsidR="00A34DB7" w:rsidRPr="00995F19">
        <w:t>spring)</w:t>
      </w:r>
    </w:p>
    <w:p w:rsidR="003B08D3" w:rsidRDefault="000D5120" w:rsidP="00CE2D39">
      <w:pPr>
        <w:pStyle w:val="ListParagraph"/>
        <w:numPr>
          <w:ilvl w:val="0"/>
          <w:numId w:val="6"/>
        </w:numPr>
      </w:pPr>
      <w:r>
        <w:t>What is your bolster height and load height?</w:t>
      </w:r>
      <w:r w:rsidR="00446F9D">
        <w:t xml:space="preserve"> </w:t>
      </w:r>
      <w:r w:rsidR="003B08D3">
        <w:t>Are you at high risk of rollover? If so, how can you change your load so there is a lower risk of rollover?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172245" w:rsidRDefault="003B08D3" w:rsidP="00CE2D39">
      <w:pPr>
        <w:pStyle w:val="ListParagraph"/>
        <w:numPr>
          <w:ilvl w:val="0"/>
          <w:numId w:val="6"/>
        </w:numPr>
      </w:pPr>
      <w:r>
        <w:t xml:space="preserve">What is the risk </w:t>
      </w:r>
      <w:r w:rsidR="00446F9D">
        <w:t xml:space="preserve">(% likelihood) </w:t>
      </w:r>
      <w:r>
        <w:t>of your load rolling over if you took a corner at 50km per hour?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E7D48" w:rsidRDefault="00CE7D48">
      <w:pPr>
        <w:rPr>
          <w:b/>
          <w:sz w:val="24"/>
          <w:szCs w:val="24"/>
        </w:rPr>
      </w:pPr>
      <w:r>
        <w:br w:type="page"/>
      </w:r>
    </w:p>
    <w:p w:rsidR="00E006DE" w:rsidRDefault="00E006DE" w:rsidP="00E006DE">
      <w:pPr>
        <w:pStyle w:val="Heading3"/>
      </w:pPr>
      <w:r>
        <w:t>Risk evaluation and log load restraint</w:t>
      </w:r>
    </w:p>
    <w:p w:rsidR="00C35608" w:rsidRDefault="00E006DE" w:rsidP="00172245">
      <w:r>
        <w:t>Conduct a risk assessment of your load. Use the information on p55</w:t>
      </w:r>
      <w:r w:rsidR="00C35608">
        <w:t>-59</w:t>
      </w:r>
      <w:r>
        <w:t xml:space="preserve"> of the </w:t>
      </w:r>
      <w:r w:rsidRPr="00C35608">
        <w:rPr>
          <w:i/>
        </w:rPr>
        <w:t>Log Haulage Manual</w:t>
      </w:r>
      <w:r w:rsidR="00A34DB7">
        <w:rPr>
          <w:i/>
        </w:rPr>
        <w:t>,</w:t>
      </w:r>
      <w:r>
        <w:t xml:space="preserve"> </w:t>
      </w:r>
      <w:r w:rsidR="00A34DB7" w:rsidRPr="00995F19">
        <w:t>to</w:t>
      </w:r>
      <w:r w:rsidRPr="00995F19">
        <w:t xml:space="preserve"> </w:t>
      </w:r>
      <w:r>
        <w:t xml:space="preserve">determine </w:t>
      </w:r>
      <w:r w:rsidR="00E840B7">
        <w:t xml:space="preserve">the level of risk associated with the restraint of your load. </w:t>
      </w:r>
      <w:r w:rsidR="00CE7D48">
        <w:t>Tick (</w:t>
      </w:r>
      <w:r w:rsidR="00CE7D48">
        <w:sym w:font="Wingdings 2" w:char="F050"/>
      </w:r>
      <w:r w:rsidR="00CE7D48">
        <w:t>) the appropriate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1701"/>
        <w:gridCol w:w="1701"/>
        <w:gridCol w:w="1701"/>
      </w:tblGrid>
      <w:tr w:rsidR="00E840B7" w:rsidTr="00E840B7">
        <w:trPr>
          <w:trHeight w:val="397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E840B7" w:rsidRDefault="00E840B7" w:rsidP="00E840B7">
            <w:pPr>
              <w:pStyle w:val="Heading3"/>
              <w:outlineLvl w:val="2"/>
            </w:pPr>
            <w:r>
              <w:t>Consider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40B7" w:rsidRDefault="00E840B7" w:rsidP="00E840B7">
            <w:pPr>
              <w:pStyle w:val="Heading3"/>
              <w:outlineLvl w:val="2"/>
            </w:pPr>
            <w:r>
              <w:t>High risk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40B7" w:rsidRDefault="00E840B7" w:rsidP="00E840B7">
            <w:pPr>
              <w:pStyle w:val="Heading3"/>
              <w:outlineLvl w:val="2"/>
            </w:pPr>
            <w:r>
              <w:t>Medium risk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40B7" w:rsidRDefault="00E840B7" w:rsidP="00E840B7">
            <w:pPr>
              <w:pStyle w:val="Heading3"/>
              <w:outlineLvl w:val="2"/>
            </w:pPr>
            <w:r>
              <w:t>Low risk</w:t>
            </w:r>
          </w:p>
        </w:tc>
      </w:tr>
      <w:tr w:rsidR="00E840B7" w:rsidTr="00BF6C12">
        <w:trPr>
          <w:trHeight w:val="397"/>
        </w:trPr>
        <w:tc>
          <w:tcPr>
            <w:tcW w:w="4247" w:type="dxa"/>
            <w:vAlign w:val="center"/>
          </w:tcPr>
          <w:p w:rsidR="00E840B7" w:rsidRDefault="00E840B7" w:rsidP="00B01A42">
            <w:r>
              <w:t>Log friction</w:t>
            </w:r>
          </w:p>
        </w:tc>
        <w:tc>
          <w:tcPr>
            <w:tcW w:w="1701" w:type="dxa"/>
            <w:vAlign w:val="center"/>
          </w:tcPr>
          <w:p w:rsidR="0098636F" w:rsidRPr="00BF6C12" w:rsidRDefault="0098636F" w:rsidP="00BF6C12">
            <w:r w:rsidRPr="00BF6C12">
              <w:t>Debarked logs</w:t>
            </w:r>
          </w:p>
        </w:tc>
        <w:tc>
          <w:tcPr>
            <w:tcW w:w="1701" w:type="dxa"/>
            <w:vAlign w:val="center"/>
          </w:tcPr>
          <w:p w:rsidR="00E840B7" w:rsidRPr="00BF6C12" w:rsidRDefault="00E840B7"/>
        </w:tc>
        <w:tc>
          <w:tcPr>
            <w:tcW w:w="1701" w:type="dxa"/>
            <w:vAlign w:val="center"/>
          </w:tcPr>
          <w:p w:rsidR="00E840B7" w:rsidRPr="00BF6C12" w:rsidRDefault="0098636F">
            <w:r w:rsidRPr="00BF6C12">
              <w:t>Logs with bark and low sap content</w:t>
            </w:r>
          </w:p>
        </w:tc>
      </w:tr>
      <w:tr w:rsidR="00E840B7" w:rsidTr="00BF6C12">
        <w:trPr>
          <w:trHeight w:val="397"/>
        </w:trPr>
        <w:tc>
          <w:tcPr>
            <w:tcW w:w="4247" w:type="dxa"/>
            <w:vAlign w:val="center"/>
          </w:tcPr>
          <w:p w:rsidR="00E840B7" w:rsidRDefault="00E840B7">
            <w:r>
              <w:t>Log overhang past stanchion</w:t>
            </w:r>
          </w:p>
        </w:tc>
        <w:tc>
          <w:tcPr>
            <w:tcW w:w="1701" w:type="dxa"/>
            <w:vAlign w:val="center"/>
          </w:tcPr>
          <w:p w:rsidR="0098636F" w:rsidRPr="00BF6C12" w:rsidRDefault="0098636F">
            <w:r w:rsidRPr="00BF6C12">
              <w:t>Short overhang</w:t>
            </w:r>
          </w:p>
        </w:tc>
        <w:tc>
          <w:tcPr>
            <w:tcW w:w="1701" w:type="dxa"/>
            <w:vAlign w:val="center"/>
          </w:tcPr>
          <w:p w:rsidR="00E840B7" w:rsidRPr="00BF6C12" w:rsidRDefault="00CE7D48" w:rsidP="00BF6C12">
            <w:r w:rsidRPr="00BF6C12">
              <w:rPr>
                <w:color w:val="F2F2F2" w:themeColor="background1" w:themeShade="F2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E840B7" w:rsidRPr="00BF6C12" w:rsidRDefault="0098636F">
            <w:r w:rsidRPr="00BF6C12">
              <w:t>Long overhang</w:t>
            </w:r>
          </w:p>
        </w:tc>
      </w:tr>
      <w:tr w:rsidR="00E840B7" w:rsidTr="00BF6C12">
        <w:trPr>
          <w:trHeight w:val="397"/>
        </w:trPr>
        <w:tc>
          <w:tcPr>
            <w:tcW w:w="4247" w:type="dxa"/>
            <w:vAlign w:val="center"/>
          </w:tcPr>
          <w:p w:rsidR="00E840B7" w:rsidRDefault="00E840B7">
            <w:r>
              <w:t>Load height</w:t>
            </w:r>
          </w:p>
        </w:tc>
        <w:tc>
          <w:tcPr>
            <w:tcW w:w="1701" w:type="dxa"/>
            <w:vAlign w:val="center"/>
          </w:tcPr>
          <w:p w:rsidR="0098636F" w:rsidRPr="00BF6C12" w:rsidRDefault="0098636F">
            <w:r w:rsidRPr="00BF6C12">
              <w:t>Maximum load height</w:t>
            </w:r>
          </w:p>
        </w:tc>
        <w:tc>
          <w:tcPr>
            <w:tcW w:w="1701" w:type="dxa"/>
            <w:vAlign w:val="center"/>
          </w:tcPr>
          <w:p w:rsidR="00E840B7" w:rsidRPr="00BF6C12" w:rsidRDefault="00E840B7"/>
        </w:tc>
        <w:tc>
          <w:tcPr>
            <w:tcW w:w="1701" w:type="dxa"/>
            <w:vAlign w:val="center"/>
          </w:tcPr>
          <w:p w:rsidR="00CE7D48" w:rsidRPr="00BF6C12" w:rsidRDefault="0098636F" w:rsidP="00BF6C12">
            <w:r w:rsidRPr="00BF6C12">
              <w:t>Low load height</w:t>
            </w:r>
            <w:r w:rsidR="00CE7D48" w:rsidRPr="00BF6C12">
              <w:rPr>
                <w:color w:val="F2F2F2" w:themeColor="background1" w:themeShade="F2"/>
              </w:rPr>
              <w:sym w:font="Wingdings 2" w:char="F050"/>
            </w:r>
          </w:p>
        </w:tc>
      </w:tr>
      <w:tr w:rsidR="00E840B7" w:rsidTr="00BF6C12">
        <w:trPr>
          <w:trHeight w:val="397"/>
        </w:trPr>
        <w:tc>
          <w:tcPr>
            <w:tcW w:w="4247" w:type="dxa"/>
            <w:vAlign w:val="center"/>
          </w:tcPr>
          <w:p w:rsidR="00E840B7" w:rsidRDefault="00E840B7">
            <w:r>
              <w:t>Lashing pre-tension</w:t>
            </w:r>
          </w:p>
        </w:tc>
        <w:tc>
          <w:tcPr>
            <w:tcW w:w="1701" w:type="dxa"/>
            <w:vAlign w:val="center"/>
          </w:tcPr>
          <w:p w:rsidR="0098636F" w:rsidRPr="00BF6C12" w:rsidRDefault="0098636F" w:rsidP="00BF6C12">
            <w:r w:rsidRPr="00BF6C12">
              <w:t>Standard 300 kgf 50mm webbing ratchet</w:t>
            </w:r>
          </w:p>
        </w:tc>
        <w:tc>
          <w:tcPr>
            <w:tcW w:w="1701" w:type="dxa"/>
            <w:vAlign w:val="center"/>
          </w:tcPr>
          <w:p w:rsidR="00E840B7" w:rsidRPr="00BF6C12" w:rsidRDefault="0098636F">
            <w:r w:rsidRPr="00BF6C12">
              <w:t>Standard 750 kgf chain tensioner</w:t>
            </w:r>
          </w:p>
        </w:tc>
        <w:tc>
          <w:tcPr>
            <w:tcW w:w="1701" w:type="dxa"/>
            <w:vAlign w:val="center"/>
          </w:tcPr>
          <w:p w:rsidR="00E840B7" w:rsidRPr="00BF6C12" w:rsidRDefault="0098636F">
            <w:r w:rsidRPr="00BF6C12">
              <w:t>Air driven tensioner 100 kgf</w:t>
            </w:r>
          </w:p>
        </w:tc>
      </w:tr>
      <w:tr w:rsidR="00E840B7" w:rsidTr="00BF6C12">
        <w:trPr>
          <w:trHeight w:val="397"/>
        </w:trPr>
        <w:tc>
          <w:tcPr>
            <w:tcW w:w="4247" w:type="dxa"/>
            <w:vAlign w:val="center"/>
          </w:tcPr>
          <w:p w:rsidR="00E840B7" w:rsidRDefault="00E840B7">
            <w:r>
              <w:t>The availability of load blocking devices</w:t>
            </w:r>
          </w:p>
        </w:tc>
        <w:tc>
          <w:tcPr>
            <w:tcW w:w="1701" w:type="dxa"/>
            <w:vAlign w:val="center"/>
          </w:tcPr>
          <w:p w:rsidR="0098636F" w:rsidRPr="00BF6C12" w:rsidRDefault="0098636F">
            <w:r w:rsidRPr="00BF6C12">
              <w:t>Not blocked against headboard</w:t>
            </w:r>
          </w:p>
        </w:tc>
        <w:tc>
          <w:tcPr>
            <w:tcW w:w="1701" w:type="dxa"/>
            <w:vAlign w:val="center"/>
          </w:tcPr>
          <w:p w:rsidR="00E840B7" w:rsidRPr="00BF6C12" w:rsidRDefault="00CE7D48" w:rsidP="00BF6C12">
            <w:r w:rsidRPr="00BF6C12">
              <w:rPr>
                <w:color w:val="F2F2F2" w:themeColor="background1" w:themeShade="F2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E840B7" w:rsidRPr="00BF6C12" w:rsidRDefault="0098636F">
            <w:r w:rsidRPr="00BF6C12">
              <w:t>Blocked against headboard</w:t>
            </w:r>
          </w:p>
        </w:tc>
      </w:tr>
    </w:tbl>
    <w:p w:rsidR="00C35608" w:rsidRDefault="00C35608" w:rsidP="00172245"/>
    <w:p w:rsidR="00C35608" w:rsidRDefault="00C35608" w:rsidP="00CE2D39">
      <w:pPr>
        <w:pStyle w:val="ListParagraph"/>
        <w:numPr>
          <w:ilvl w:val="0"/>
          <w:numId w:val="7"/>
        </w:numPr>
      </w:pPr>
      <w:r>
        <w:t>Are any aspects of your load restraint at high or medium risk? What can be done to lower the level of risk?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35608" w:rsidRDefault="0098636F" w:rsidP="00CE2D39">
      <w:pPr>
        <w:pStyle w:val="ListParagraph"/>
        <w:numPr>
          <w:ilvl w:val="0"/>
          <w:numId w:val="7"/>
        </w:numPr>
      </w:pPr>
      <w:r>
        <w:t>Are you carrying long or short long logs?</w:t>
      </w:r>
      <w:r w:rsidR="001F0FFE">
        <w:t xml:space="preserve"> Complete the relevant section </w:t>
      </w:r>
      <w:r w:rsidR="00CE7D48">
        <w:t>on the following page</w:t>
      </w:r>
      <w:r w:rsidR="001F0FFE">
        <w:t xml:space="preserve"> for your load.</w:t>
      </w:r>
    </w:p>
    <w:p w:rsidR="00CE7D48" w:rsidRDefault="00CE7D48">
      <w:pPr>
        <w:rPr>
          <w:b/>
          <w:sz w:val="24"/>
          <w:szCs w:val="24"/>
        </w:rPr>
      </w:pPr>
      <w:r>
        <w:br w:type="page"/>
      </w:r>
    </w:p>
    <w:p w:rsidR="0098636F" w:rsidRDefault="0098636F" w:rsidP="001F0FFE">
      <w:pPr>
        <w:pStyle w:val="Heading3"/>
      </w:pPr>
      <w:r>
        <w:t>Restraining long logs</w:t>
      </w:r>
    </w:p>
    <w:p w:rsidR="001F0FFE" w:rsidRDefault="0098636F" w:rsidP="00CE2D39">
      <w:pPr>
        <w:pStyle w:val="ListParagraph"/>
        <w:numPr>
          <w:ilvl w:val="0"/>
          <w:numId w:val="8"/>
        </w:numPr>
      </w:pPr>
      <w:r>
        <w:t>Consider the bunk height</w:t>
      </w:r>
      <w:r w:rsidR="001F0FFE">
        <w:t xml:space="preserve"> of your load. What is the safe minimum overhang past the stanchion on your truck if you are using:</w:t>
      </w:r>
    </w:p>
    <w:p w:rsidR="0098636F" w:rsidRPr="00BF6C12" w:rsidRDefault="001F0FFE" w:rsidP="00172245">
      <w:pPr>
        <w:rPr>
          <w:color w:val="D9D9D9" w:themeColor="background1" w:themeShade="D9"/>
        </w:rPr>
      </w:pPr>
      <w:r>
        <w:t xml:space="preserve">Chains? </w:t>
      </w:r>
      <w:r w:rsidR="00FB27E6">
        <w:tab/>
      </w:r>
      <w:r w:rsidRPr="00BF6C12">
        <w:rPr>
          <w:color w:val="D9D9D9" w:themeColor="background1" w:themeShade="D9"/>
        </w:rPr>
        <w:t>________________________________________________________</w:t>
      </w:r>
    </w:p>
    <w:p w:rsidR="001F0FFE" w:rsidRPr="00BF6C12" w:rsidRDefault="001F0FFE" w:rsidP="00172245">
      <w:pPr>
        <w:rPr>
          <w:color w:val="D9D9D9" w:themeColor="background1" w:themeShade="D9"/>
        </w:rPr>
      </w:pPr>
      <w:r>
        <w:t xml:space="preserve">Webbing? </w:t>
      </w:r>
      <w:r w:rsidR="00FB27E6">
        <w:tab/>
      </w:r>
      <w:r w:rsidRPr="00BF6C12">
        <w:rPr>
          <w:color w:val="D9D9D9" w:themeColor="background1" w:themeShade="D9"/>
        </w:rPr>
        <w:t>______________________________________________________</w:t>
      </w:r>
      <w:r w:rsidR="00FB27E6" w:rsidRPr="00BF6C12">
        <w:rPr>
          <w:color w:val="D9D9D9" w:themeColor="background1" w:themeShade="D9"/>
        </w:rPr>
        <w:softHyphen/>
      </w:r>
      <w:r w:rsidR="00FB27E6" w:rsidRPr="00BF6C12">
        <w:rPr>
          <w:color w:val="D9D9D9" w:themeColor="background1" w:themeShade="D9"/>
        </w:rPr>
        <w:softHyphen/>
      </w:r>
      <w:r w:rsidR="00FB27E6" w:rsidRPr="00BF6C12">
        <w:rPr>
          <w:color w:val="D9D9D9" w:themeColor="background1" w:themeShade="D9"/>
        </w:rPr>
        <w:softHyphen/>
      </w:r>
      <w:r w:rsidR="00FB27E6" w:rsidRPr="00BF6C12">
        <w:rPr>
          <w:color w:val="D9D9D9" w:themeColor="background1" w:themeShade="D9"/>
        </w:rPr>
        <w:softHyphen/>
        <w:t>---</w:t>
      </w:r>
    </w:p>
    <w:p w:rsidR="0098636F" w:rsidRDefault="0098636F" w:rsidP="00CE2D39">
      <w:pPr>
        <w:pStyle w:val="ListParagraph"/>
        <w:numPr>
          <w:ilvl w:val="0"/>
          <w:numId w:val="8"/>
        </w:numPr>
      </w:pPr>
      <w:r>
        <w:t xml:space="preserve">Consider the </w:t>
      </w:r>
      <w:r w:rsidRPr="00995F19">
        <w:rPr>
          <w:b/>
        </w:rPr>
        <w:t>bunk</w:t>
      </w:r>
      <w:r w:rsidR="00EC5276" w:rsidRPr="00EC5276">
        <w:t xml:space="preserve"> </w:t>
      </w:r>
      <w:r>
        <w:t>mass</w:t>
      </w:r>
      <w:r w:rsidR="001F0FFE">
        <w:t xml:space="preserve"> of your load</w:t>
      </w:r>
      <w:r>
        <w:t xml:space="preserve"> (</w:t>
      </w:r>
      <w:r w:rsidR="001F0FFE">
        <w:t>in tonnes)</w:t>
      </w:r>
      <w:r w:rsidR="006242B0">
        <w:t>,</w:t>
      </w:r>
      <w:r w:rsidR="001F0FFE">
        <w:t xml:space="preserve"> the </w:t>
      </w:r>
      <w:r w:rsidR="006242B0">
        <w:t>type of truck you drive (trailer or prime mover)</w:t>
      </w:r>
      <w:r w:rsidR="00B606C0">
        <w:t>.</w:t>
      </w:r>
      <w:r>
        <w:t xml:space="preserve"> Use the load restraint table on p56 of the </w:t>
      </w:r>
      <w:r w:rsidRPr="00CE2D39">
        <w:rPr>
          <w:i/>
        </w:rPr>
        <w:t>Log Haulage Manual</w:t>
      </w:r>
      <w:r>
        <w:t xml:space="preserve"> </w:t>
      </w:r>
      <w:r w:rsidR="001F0FFE">
        <w:t>to determine the recommended number</w:t>
      </w:r>
      <w:r w:rsidR="006242B0">
        <w:t xml:space="preserve"> and type </w:t>
      </w:r>
      <w:r w:rsidR="001F0FFE">
        <w:t>of restraints</w:t>
      </w:r>
      <w:r w:rsidR="006242B0">
        <w:t xml:space="preserve"> for low risk</w:t>
      </w:r>
      <w:r w:rsidR="001F0FFE">
        <w:t xml:space="preserve">, </w:t>
      </w:r>
      <w:r w:rsidR="006242B0">
        <w:t>assuming they are</w:t>
      </w:r>
      <w:r w:rsidR="001F0FFE">
        <w:t xml:space="preserve"> pre-tensioned at 750</w:t>
      </w:r>
      <w:r w:rsidR="006242B0">
        <w:t xml:space="preserve"> kgf.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6242B0" w:rsidRDefault="006242B0" w:rsidP="006242B0">
      <w:pPr>
        <w:pStyle w:val="Heading3"/>
      </w:pPr>
      <w:r>
        <w:t>Restraining short loads</w:t>
      </w:r>
    </w:p>
    <w:p w:rsidR="006242B0" w:rsidRDefault="006242B0" w:rsidP="00CE2D39">
      <w:pPr>
        <w:pStyle w:val="ListParagraph"/>
        <w:numPr>
          <w:ilvl w:val="0"/>
          <w:numId w:val="8"/>
        </w:numPr>
      </w:pPr>
      <w:r>
        <w:t xml:space="preserve">Consider the </w:t>
      </w:r>
      <w:bookmarkStart w:id="0" w:name="_GoBack"/>
      <w:r w:rsidRPr="00995F19">
        <w:rPr>
          <w:b/>
        </w:rPr>
        <w:t>bunk</w:t>
      </w:r>
      <w:r w:rsidR="00EC5276" w:rsidRPr="00EC5276">
        <w:t xml:space="preserve"> </w:t>
      </w:r>
      <w:bookmarkEnd w:id="0"/>
      <w:r>
        <w:t>height of your load (in metres), the type of truck you drive (trailer or prime mover)</w:t>
      </w:r>
      <w:r w:rsidR="00B606C0">
        <w:t xml:space="preserve">. </w:t>
      </w:r>
      <w:r>
        <w:t>Use the load restraint table on p57</w:t>
      </w:r>
      <w:r w:rsidRPr="006242B0">
        <w:t xml:space="preserve"> </w:t>
      </w:r>
      <w:r>
        <w:t xml:space="preserve">of the </w:t>
      </w:r>
      <w:r w:rsidRPr="00CE2D39">
        <w:rPr>
          <w:i/>
        </w:rPr>
        <w:t>Log Haulage Manual</w:t>
      </w:r>
      <w:r>
        <w:t xml:space="preserve"> to determine the recommended number and type of restraints for low risk, assuming they are pre-tensioned at 750 kgf, for low risk.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54E95" w:rsidRDefault="00C54E95" w:rsidP="00C54E95">
      <w:pPr>
        <w:pStyle w:val="Heading3"/>
      </w:pPr>
      <w:r>
        <w:t>Restraining high risk loads</w:t>
      </w:r>
    </w:p>
    <w:p w:rsidR="006242B0" w:rsidRDefault="00C54E95" w:rsidP="00CE2D39">
      <w:pPr>
        <w:pStyle w:val="ListParagraph"/>
        <w:numPr>
          <w:ilvl w:val="0"/>
          <w:numId w:val="8"/>
        </w:numPr>
      </w:pPr>
      <w:r>
        <w:t>What are the key features of lashings for low risk loads?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54E95" w:rsidRDefault="00C54E95" w:rsidP="00CE2D39">
      <w:pPr>
        <w:pStyle w:val="ListParagraph"/>
        <w:numPr>
          <w:ilvl w:val="0"/>
          <w:numId w:val="8"/>
        </w:numPr>
      </w:pPr>
      <w:r>
        <w:t>What are the key features of lashings for high risk loads?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E7D48" w:rsidRDefault="00CE7D48">
      <w:pPr>
        <w:rPr>
          <w:b/>
          <w:sz w:val="24"/>
          <w:szCs w:val="24"/>
        </w:rPr>
      </w:pPr>
      <w:r>
        <w:br w:type="page"/>
      </w:r>
    </w:p>
    <w:p w:rsidR="00C54E95" w:rsidRPr="00C54E95" w:rsidRDefault="00C54E95" w:rsidP="00C54E95">
      <w:pPr>
        <w:pStyle w:val="Heading3"/>
      </w:pPr>
      <w:r w:rsidRPr="00C54E95">
        <w:t>Controlling hazards related to applying lashings</w:t>
      </w:r>
    </w:p>
    <w:p w:rsidR="00C54E95" w:rsidRDefault="00C54E95" w:rsidP="00CE2D39">
      <w:pPr>
        <w:pStyle w:val="ListParagraph"/>
        <w:numPr>
          <w:ilvl w:val="0"/>
          <w:numId w:val="9"/>
        </w:numPr>
      </w:pPr>
      <w:r>
        <w:t>How can you reduce the risk of a log toppling off a load?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54E95" w:rsidRDefault="00C54E95" w:rsidP="00CE2D39">
      <w:pPr>
        <w:pStyle w:val="ListParagraph"/>
        <w:numPr>
          <w:ilvl w:val="0"/>
          <w:numId w:val="9"/>
        </w:numPr>
      </w:pPr>
      <w:r>
        <w:t>How can you reduce the risk of injury from throwing a heavy chain over a load?</w:t>
      </w:r>
    </w:p>
    <w:p w:rsidR="00CE7D48" w:rsidRPr="00CE7D48" w:rsidRDefault="00CE7D48" w:rsidP="00CE7D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7D48" w:rsidTr="00A83F63">
        <w:tc>
          <w:tcPr>
            <w:tcW w:w="9350" w:type="dxa"/>
          </w:tcPr>
          <w:p w:rsidR="00CE7D48" w:rsidRDefault="00CE7D48" w:rsidP="00A83F63"/>
          <w:p w:rsidR="00CE7D48" w:rsidRDefault="00CE7D48" w:rsidP="00A83F63"/>
        </w:tc>
      </w:tr>
    </w:tbl>
    <w:p w:rsidR="00CE7D48" w:rsidRDefault="00CE7D48" w:rsidP="00CE7D48"/>
    <w:p w:rsidR="00C54E95" w:rsidRDefault="00C54E95" w:rsidP="00CE2D39">
      <w:pPr>
        <w:pStyle w:val="ListParagraph"/>
        <w:numPr>
          <w:ilvl w:val="0"/>
          <w:numId w:val="9"/>
        </w:numPr>
      </w:pPr>
      <w:r>
        <w:t xml:space="preserve">Imagine you have just been pulled over by a </w:t>
      </w:r>
      <w:r w:rsidR="00F134A2">
        <w:t>State Roads Compliance O</w:t>
      </w:r>
      <w:r>
        <w:t xml:space="preserve">fficer. The officer asks you to explain </w:t>
      </w:r>
      <w:r w:rsidR="00CE7D48">
        <w:t>the restraints on your load and ho</w:t>
      </w:r>
      <w:r w:rsidR="00F134A2">
        <w:t>w they comply with the Heavy Vehicle National Law, particularly the Load Restraint Guide. What do you say? Make some notes below.</w:t>
      </w:r>
    </w:p>
    <w:p w:rsidR="00F134A2" w:rsidRPr="00CE7D48" w:rsidRDefault="00F134A2" w:rsidP="00F134A2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  <w:tr w:rsidR="00F134A2" w:rsidTr="00F134A2">
        <w:trPr>
          <w:trHeight w:val="567"/>
        </w:trPr>
        <w:tc>
          <w:tcPr>
            <w:tcW w:w="9350" w:type="dxa"/>
          </w:tcPr>
          <w:p w:rsidR="00F134A2" w:rsidRDefault="00F134A2" w:rsidP="00A83F63"/>
        </w:tc>
      </w:tr>
    </w:tbl>
    <w:p w:rsidR="00F134A2" w:rsidRDefault="00F134A2" w:rsidP="00172245"/>
    <w:sectPr w:rsidR="00F134A2" w:rsidSect="00CE7D48">
      <w:headerReference w:type="default" r:id="rId13"/>
      <w:footerReference w:type="defaul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4D" w:rsidRDefault="0049454D" w:rsidP="00A31ED0">
      <w:pPr>
        <w:spacing w:after="0" w:line="240" w:lineRule="auto"/>
      </w:pPr>
      <w:r>
        <w:separator/>
      </w:r>
    </w:p>
  </w:endnote>
  <w:endnote w:type="continuationSeparator" w:id="0">
    <w:p w:rsidR="0049454D" w:rsidRDefault="0049454D" w:rsidP="00A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3" w:rsidRDefault="008B3EB3" w:rsidP="008B3EB3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:rsidR="008A6613" w:rsidRPr="005D1444" w:rsidRDefault="008B3EB3" w:rsidP="008B3EB3">
    <w:pPr>
      <w:pStyle w:val="Footer"/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="008A6613" w:rsidRPr="005D1444">
      <w:rPr>
        <w:sz w:val="18"/>
        <w:szCs w:val="18"/>
      </w:rPr>
      <w:tab/>
    </w:r>
    <w:r w:rsidR="00170F74" w:rsidRPr="005D1444">
      <w:rPr>
        <w:sz w:val="18"/>
        <w:szCs w:val="18"/>
      </w:rPr>
      <w:tab/>
    </w:r>
    <w:r w:rsidR="00A53F4F" w:rsidRPr="005D1444">
      <w:rPr>
        <w:sz w:val="18"/>
        <w:szCs w:val="18"/>
      </w:rPr>
      <w:fldChar w:fldCharType="begin"/>
    </w:r>
    <w:r w:rsidR="00872E96" w:rsidRPr="005D1444">
      <w:rPr>
        <w:sz w:val="18"/>
        <w:szCs w:val="18"/>
      </w:rPr>
      <w:instrText xml:space="preserve"> PAGE   \* MERGEFORMAT </w:instrText>
    </w:r>
    <w:r w:rsidR="00A53F4F" w:rsidRPr="005D1444">
      <w:rPr>
        <w:sz w:val="18"/>
        <w:szCs w:val="18"/>
      </w:rPr>
      <w:fldChar w:fldCharType="separate"/>
    </w:r>
    <w:r w:rsidR="00995F19">
      <w:rPr>
        <w:noProof/>
        <w:sz w:val="18"/>
        <w:szCs w:val="18"/>
      </w:rPr>
      <w:t>1</w:t>
    </w:r>
    <w:r w:rsidR="00A53F4F" w:rsidRPr="005D144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4D" w:rsidRDefault="0049454D" w:rsidP="00A31ED0">
      <w:pPr>
        <w:spacing w:after="0" w:line="240" w:lineRule="auto"/>
      </w:pPr>
      <w:r>
        <w:separator/>
      </w:r>
    </w:p>
  </w:footnote>
  <w:footnote w:type="continuationSeparator" w:id="0">
    <w:p w:rsidR="0049454D" w:rsidRDefault="0049454D" w:rsidP="00A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601"/>
    </w:tblGrid>
    <w:tr w:rsidR="008A6613" w:rsidTr="006F001E">
      <w:trPr>
        <w:trHeight w:val="709"/>
      </w:trPr>
      <w:tc>
        <w:tcPr>
          <w:tcW w:w="1975" w:type="dxa"/>
        </w:tcPr>
        <w:p w:rsidR="008A6613" w:rsidRDefault="008A6613" w:rsidP="00A31ED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>
                <wp:extent cx="1168420" cy="450376"/>
                <wp:effectExtent l="19050" t="0" r="0" b="0"/>
                <wp:docPr id="5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4A0BA7" w:rsidRDefault="004A0BA7" w:rsidP="00DC32A7">
          <w:pPr>
            <w:pStyle w:val="Header"/>
          </w:pPr>
          <w:r>
            <w:t>Activity</w:t>
          </w:r>
        </w:p>
        <w:p w:rsidR="008A6613" w:rsidRPr="00A31ED0" w:rsidRDefault="00DC32A7" w:rsidP="00DC32A7">
          <w:pPr>
            <w:pStyle w:val="Header"/>
            <w:rPr>
              <w:color w:val="009999"/>
            </w:rPr>
          </w:pPr>
          <w:r>
            <w:t>Restraining loads</w:t>
          </w:r>
        </w:p>
      </w:tc>
    </w:tr>
  </w:tbl>
  <w:p w:rsidR="008A6613" w:rsidRDefault="008A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4F10"/>
    <w:multiLevelType w:val="hybridMultilevel"/>
    <w:tmpl w:val="A678B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EB8"/>
    <w:multiLevelType w:val="hybridMultilevel"/>
    <w:tmpl w:val="304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C0C"/>
    <w:multiLevelType w:val="hybridMultilevel"/>
    <w:tmpl w:val="76344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D34"/>
    <w:multiLevelType w:val="hybridMultilevel"/>
    <w:tmpl w:val="025CE6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05DE"/>
    <w:multiLevelType w:val="hybridMultilevel"/>
    <w:tmpl w:val="67803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7E73"/>
    <w:multiLevelType w:val="hybridMultilevel"/>
    <w:tmpl w:val="9A680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6304"/>
    <w:multiLevelType w:val="hybridMultilevel"/>
    <w:tmpl w:val="1E9C93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2DC5"/>
    <w:multiLevelType w:val="hybridMultilevel"/>
    <w:tmpl w:val="528C5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3128"/>
    <w:multiLevelType w:val="hybridMultilevel"/>
    <w:tmpl w:val="0700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7"/>
    <w:rsid w:val="00011260"/>
    <w:rsid w:val="0001212E"/>
    <w:rsid w:val="00061DCE"/>
    <w:rsid w:val="00066CB7"/>
    <w:rsid w:val="000813BE"/>
    <w:rsid w:val="00085295"/>
    <w:rsid w:val="000D0782"/>
    <w:rsid w:val="000D5120"/>
    <w:rsid w:val="0013457D"/>
    <w:rsid w:val="00170F74"/>
    <w:rsid w:val="00172245"/>
    <w:rsid w:val="00195B63"/>
    <w:rsid w:val="001D348D"/>
    <w:rsid w:val="001F0FFE"/>
    <w:rsid w:val="00237520"/>
    <w:rsid w:val="002F63D5"/>
    <w:rsid w:val="002F6951"/>
    <w:rsid w:val="00383FB3"/>
    <w:rsid w:val="00387492"/>
    <w:rsid w:val="003A3701"/>
    <w:rsid w:val="003B08D3"/>
    <w:rsid w:val="0043570C"/>
    <w:rsid w:val="00444798"/>
    <w:rsid w:val="00446F9D"/>
    <w:rsid w:val="0049454D"/>
    <w:rsid w:val="004957D1"/>
    <w:rsid w:val="004A0BA7"/>
    <w:rsid w:val="004A67DD"/>
    <w:rsid w:val="004E201C"/>
    <w:rsid w:val="004E3B42"/>
    <w:rsid w:val="0051047E"/>
    <w:rsid w:val="00551FD6"/>
    <w:rsid w:val="00576C3C"/>
    <w:rsid w:val="00581F3B"/>
    <w:rsid w:val="005B4722"/>
    <w:rsid w:val="005D1444"/>
    <w:rsid w:val="005E5E73"/>
    <w:rsid w:val="005F0F7A"/>
    <w:rsid w:val="006242B0"/>
    <w:rsid w:val="00637FEF"/>
    <w:rsid w:val="006B28D3"/>
    <w:rsid w:val="006F001E"/>
    <w:rsid w:val="00800302"/>
    <w:rsid w:val="00837F65"/>
    <w:rsid w:val="00872E96"/>
    <w:rsid w:val="008A6613"/>
    <w:rsid w:val="008B3EB3"/>
    <w:rsid w:val="008F0633"/>
    <w:rsid w:val="008F3592"/>
    <w:rsid w:val="00904DB9"/>
    <w:rsid w:val="0096461C"/>
    <w:rsid w:val="0098636F"/>
    <w:rsid w:val="009910A9"/>
    <w:rsid w:val="00995F19"/>
    <w:rsid w:val="00A31ED0"/>
    <w:rsid w:val="00A34DB7"/>
    <w:rsid w:val="00A53F4F"/>
    <w:rsid w:val="00A659CB"/>
    <w:rsid w:val="00A66054"/>
    <w:rsid w:val="00AA7873"/>
    <w:rsid w:val="00AB5575"/>
    <w:rsid w:val="00B01A42"/>
    <w:rsid w:val="00B421DF"/>
    <w:rsid w:val="00B606C0"/>
    <w:rsid w:val="00BF25AD"/>
    <w:rsid w:val="00BF6C12"/>
    <w:rsid w:val="00C054E8"/>
    <w:rsid w:val="00C35608"/>
    <w:rsid w:val="00C54E95"/>
    <w:rsid w:val="00C85AEB"/>
    <w:rsid w:val="00CE2D39"/>
    <w:rsid w:val="00CE7D48"/>
    <w:rsid w:val="00CE7EA9"/>
    <w:rsid w:val="00D26967"/>
    <w:rsid w:val="00D7104A"/>
    <w:rsid w:val="00DC32A7"/>
    <w:rsid w:val="00DF4A28"/>
    <w:rsid w:val="00E006DE"/>
    <w:rsid w:val="00E126EC"/>
    <w:rsid w:val="00E57855"/>
    <w:rsid w:val="00E81B97"/>
    <w:rsid w:val="00E840B7"/>
    <w:rsid w:val="00E9363B"/>
    <w:rsid w:val="00E94CC7"/>
    <w:rsid w:val="00EC5276"/>
    <w:rsid w:val="00F07AC9"/>
    <w:rsid w:val="00F134A2"/>
    <w:rsid w:val="00F15B0B"/>
    <w:rsid w:val="00FB27E6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8D5EBF99-0D7A-46C1-962A-9BE0F08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44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99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44"/>
    <w:pPr>
      <w:spacing w:before="60" w:after="6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D0"/>
    <w:rPr>
      <w:lang w:val="en-AU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444"/>
    <w:rPr>
      <w:rFonts w:eastAsiaTheme="majorEastAsia" w:cstheme="minorHAnsi"/>
      <w:b/>
      <w:bCs/>
      <w:color w:val="009999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1444"/>
    <w:rPr>
      <w:b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7E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7E6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B27E6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4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estworks.com.au/publications/item/153-log-haulage-manu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JO%20Consultancy\13H%20ForestWorks%20WELL%20Strategic%20Plan%202012-15\Case%20studies\FW%20Template%20for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DC2A-7707-4554-ACDF-922DE2910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DD290-FCDD-41B4-ABC3-0B15F94EABF7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ECC58662-6B2A-4CC7-B94B-529749DA54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2E3124-AFB5-476B-A45C-B931458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3FA6F3-7AB5-4334-BC9B-A0428D4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 Template for activities</Template>
  <TotalTime>1</TotalTime>
  <Pages>8</Pages>
  <Words>984</Words>
  <Characters>5614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Diana Lloyd</cp:lastModifiedBy>
  <cp:revision>2</cp:revision>
  <cp:lastPrinted>2015-03-11T04:56:00Z</cp:lastPrinted>
  <dcterms:created xsi:type="dcterms:W3CDTF">2015-06-05T04:22:00Z</dcterms:created>
  <dcterms:modified xsi:type="dcterms:W3CDTF">2015-06-05T04:22:00Z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